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="Times New Roman" w:hAnsi="Times New Roman"/>
          <w:b/>
          <w:sz w:val="24"/>
        </w:rPr>
      </w:pPr>
      <w:bookmarkStart w:id="0" w:name="OLE_LINK1"/>
      <w:r>
        <w:rPr>
          <w:rFonts w:hint="eastAsia"/>
          <w:b/>
          <w:sz w:val="32"/>
          <w:szCs w:val="32"/>
          <w:lang w:val="en-US" w:eastAsia="zh-CN"/>
        </w:rPr>
        <w:t>宫腔检查镜操作器及外鞘</w:t>
      </w:r>
      <w:bookmarkEnd w:id="0"/>
      <w:r>
        <w:rPr>
          <w:rFonts w:hint="eastAsia"/>
          <w:b/>
          <w:sz w:val="32"/>
          <w:szCs w:val="32"/>
        </w:rPr>
        <w:t>采购要求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/>
          <w:b w:val="0"/>
          <w:bCs/>
          <w:sz w:val="24"/>
          <w:lang w:val="en-US" w:eastAsia="zh-CN"/>
        </w:rPr>
      </w:pPr>
      <w:r>
        <w:rPr>
          <w:rFonts w:hint="eastAsia" w:ascii="Times New Roman" w:hAnsi="Times New Roman"/>
          <w:b/>
          <w:sz w:val="24"/>
          <w:lang w:eastAsia="zh-CN"/>
        </w:rPr>
        <w:t>一、</w:t>
      </w:r>
      <w:r>
        <w:rPr>
          <w:rFonts w:hint="eastAsia" w:ascii="Times New Roman" w:hAnsi="Times New Roman"/>
          <w:b/>
          <w:sz w:val="24"/>
        </w:rPr>
        <w:t>采购项目：</w:t>
      </w:r>
      <w:r>
        <w:rPr>
          <w:rFonts w:hint="eastAsia" w:ascii="Times New Roman" w:hAnsi="Times New Roman"/>
          <w:b w:val="0"/>
          <w:bCs/>
          <w:sz w:val="24"/>
          <w:lang w:val="en-US" w:eastAsia="zh-CN"/>
        </w:rPr>
        <w:t>宫腔检查镜操作器及外鞘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  <w:lang w:eastAsia="zh-CN"/>
        </w:rPr>
        <w:t>二、</w:t>
      </w:r>
      <w:r>
        <w:rPr>
          <w:rFonts w:hint="eastAsia" w:ascii="Times New Roman" w:hAnsi="Times New Roman"/>
          <w:b/>
          <w:sz w:val="24"/>
        </w:rPr>
        <w:t>采购数量：</w:t>
      </w:r>
      <w:r>
        <w:rPr>
          <w:rFonts w:hint="eastAsia" w:ascii="Times New Roman" w:hAnsi="Times New Roman"/>
          <w:bCs/>
          <w:color w:val="auto"/>
          <w:sz w:val="24"/>
          <w:lang w:val="en-US" w:eastAsia="zh-CN"/>
        </w:rPr>
        <w:t>1套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/>
          <w:b/>
          <w:sz w:val="24"/>
          <w:lang w:eastAsia="zh-CN"/>
        </w:rPr>
        <w:t>三、</w:t>
      </w:r>
      <w:r>
        <w:rPr>
          <w:rFonts w:hint="eastAsia" w:ascii="Times New Roman" w:hAnsi="Times New Roman"/>
          <w:b/>
          <w:sz w:val="24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 兼容性：外鞘直径为5.0mm，内鞘和外鞘必须与Storz的26105BA宫腔检查镜完美匹配，在连接、操作过程中无卡顿、松动、错位等现象，保证手术顺利进行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 密封性：内鞘和外鞘连接处以及与宫腔检查镜的连接处，均需具备良好的密封性，在手术灌流过程中，不会出现液体渗漏，维持宫腔内稳定的压力和清晰的视野，在0.4MPa的压力下持续灌流30分钟，无渗漏现象。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3. 清洁与消毒：易于拆卸清洗，能有效去除手术残留的组织、血液等污染物，且能耐受医院常用的高温高压消毒（134℃，30分钟）、环氧乙烷消毒等方式，消毒后不影响器械的性能和精度 ，经过消毒测试（不少于10次），器械的各项性能指标符合要求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4. 耐用性：在正常使用和维护条件下，内鞘和外鞘的使用寿命不少于5年或使用次数不少于200次，以先到者为准，提供详细的耐用性测试报告和质量保证承诺。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5.材质：采用符合医疗器械标准的优质医用不锈钢材质，具备足够的强度和耐用性，能够承受手术过程中的各种应力，适应高温高压消毒环境。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四、质保</w:t>
      </w:r>
      <w:r>
        <w:rPr>
          <w:rFonts w:hint="eastAsia" w:ascii="宋体" w:hAnsi="宋体" w:cs="宋体"/>
          <w:b w:val="0"/>
          <w:bCs w:val="0"/>
          <w:sz w:val="24"/>
        </w:rPr>
        <w:t>：</w:t>
      </w:r>
      <w:r>
        <w:rPr>
          <w:rFonts w:hint="eastAsia" w:ascii="宋体" w:hAnsi="宋体" w:cs="宋体"/>
          <w:sz w:val="24"/>
        </w:rPr>
        <w:t>≥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年，根据医院需求免费提供集体培训。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五、最高</w:t>
      </w:r>
      <w:r>
        <w:rPr>
          <w:rFonts w:hint="eastAsia" w:ascii="宋体" w:hAnsi="宋体" w:cs="宋体"/>
          <w:b/>
          <w:bCs/>
          <w:sz w:val="24"/>
          <w:lang w:eastAsia="zh-CN"/>
        </w:rPr>
        <w:t>总</w:t>
      </w:r>
      <w:r>
        <w:rPr>
          <w:rFonts w:hint="eastAsia" w:ascii="宋体" w:hAnsi="宋体" w:cs="宋体"/>
          <w:b/>
          <w:bCs/>
          <w:sz w:val="24"/>
        </w:rPr>
        <w:t>限价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0.6</w:t>
      </w:r>
      <w:r>
        <w:rPr>
          <w:rFonts w:hint="eastAsia" w:ascii="宋体" w:hAnsi="宋体" w:cs="宋体"/>
          <w:sz w:val="24"/>
        </w:rPr>
        <w:t>万</w:t>
      </w:r>
      <w:r>
        <w:rPr>
          <w:rFonts w:hint="eastAsia" w:ascii="宋体" w:hAnsi="宋体" w:cs="宋体"/>
          <w:sz w:val="24"/>
          <w:lang w:eastAsia="zh-CN"/>
        </w:rPr>
        <w:t>元</w:t>
      </w:r>
      <w:r>
        <w:rPr>
          <w:rFonts w:hint="eastAsia" w:ascii="宋体" w:hAnsi="宋体" w:cs="宋体"/>
          <w:sz w:val="24"/>
        </w:rPr>
        <w:t>，包含税金、运费、安装等一切相关费用。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六、供货期：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签订合同后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30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日内。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七、投标人资格要求：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</w:pP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（1）供应商投标产品须具有有效的医疗器械注册证（属于第二类、第三类医疗器械时）或已完成产品备案并获取备案编号（属于第一类医疗器械时）。（2）供应商为所投产品的生产企业，须具有有效的医疗器械生产许可证（属于第二类、第三类医疗器械时）或已完成生产备案并获取备案编号（属于第一类医疗器械时）。（3）供应商为经营企业时，须具有有效的医疗器械经营许可证（第三类医疗器械时）或已完成经营备案并获取备案编号（属于第二类医疗器械时）。（4）如是《医疗器械经营监督管理办法》中提出免于经营许可或备案的情形，无需提供经营许可证或备案凭证（编号），但须在投标文件中进行说明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47DBB"/>
    <w:rsid w:val="43837ED4"/>
    <w:rsid w:val="4CD4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2" w:firstLineChars="200"/>
    </w:pPr>
    <w:rPr>
      <w:rFonts w:ascii="Calibri" w:hAnsi="Calibri" w:eastAsia="宋体" w:cs="Times New Roman"/>
      <w:kern w:val="0"/>
      <w:sz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2025-03-24T11:53:00Z</dcterms:created>
  <dc:creator>章杨洋</dc:creator>
  <cp:lastModifiedBy>章杨洋</cp:lastModifiedBy>
  <dcterms:modified xsi:type="dcterms:W3CDTF">2025-03-25T01:05:07Z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